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丹政办函〔202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丹凤县人民政府办公室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年大学生到政府机关见习工作的通知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spacing w:val="-9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县政府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部门、事业机构：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为加强大学生社会实践，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增强政府工作透明度</w:t>
      </w:r>
      <w:r>
        <w:rPr>
          <w:rFonts w:hint="eastAsia" w:ascii="仿宋_GB2312" w:hAnsi="仿宋_GB2312" w:eastAsia="仿宋_GB2312" w:cs="仿宋_GB2312"/>
          <w:sz w:val="32"/>
          <w:szCs w:val="32"/>
        </w:rPr>
        <w:t>，根据《陕西省人民政府办公厅关于做好202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年大学生到政府机关见习工作的通知》(陕政办函〔202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76</w:t>
      </w:r>
      <w:r>
        <w:rPr>
          <w:rFonts w:hint="eastAsia" w:ascii="仿宋_GB2312" w:hAnsi="仿宋_GB2312" w:eastAsia="仿宋_GB2312" w:cs="仿宋_GB2312"/>
          <w:sz w:val="32"/>
          <w:szCs w:val="32"/>
        </w:rPr>
        <w:t>号)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精神，按照商洛市人民政府办公室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有关批示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要求，结合我县实际，现就做好202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年大学生到政府机关见习工作有关事项通知如下。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一、时间安排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1.学生报名：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2.遴选分配：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年7月3日—7月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3.见习阶段：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日—8月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二、遴选原则和条件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根据省政府统一要求，按照“自主申请、自愿报名，双向选择、择优选定”的原则，今年暑假拟遴选60名符合条件的大学生到政府机关开展见习活动。见习大学生应具备以下条件：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1849" w:h="16781"/>
          <w:pgMar w:top="1871" w:right="1474" w:bottom="1587" w:left="1587" w:header="0" w:footer="1247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1.丹凤籍在商洛本地和外地高校就读的202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级本科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及研究生在读学生。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2.思想积极、品德良好、身体健康、组织纪律观念较强、综合素质较好，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中共党员、入党积极分子以及在校品学兼优的优先考虑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3.能</w:t>
      </w: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>够保证充足的见习工作时间，严格遵守国家法律法规和 见习单位各项规章制度，自觉接受见习单位管理，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严守国家秘密和工作秘密，注重自身形象。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4.能够自行解决见习期间的食宿、交通问题，参加见习的大学生须自行购买人身意外伤害保险。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三、工作程序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1.宣传动员：由县政府办牵头，县人社局、县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政务中心、 县融媒体中心做好宣传动员。分别在丹凤县政府门户网站及“丹凤发布”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“丹凤融媒”政务微博和微信公众号发布通知，广泛宣传见习活动。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2.学生报名：拟参加见习活动的大学生须手写一篇“自我推荐”的文章，并在丹凤县政府门户网站下载填写《丹凤县202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年大学生到政府机关见习报名审查暨推荐表》(附件2),经所在学校同意后盖章，于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日17时前，持本人有效身份证件、报名审查推荐表、所撰写文章到县政务服务中心(县城江滨南路西段江南新城B区9号楼临街门面房)报名(联系电话0914— 3588505联系人：王子祎),逾期不予报名。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3.遴选分配：被遴选60名见习大学生经县政府见习工作领 导小组办公室审定后，由县人社局提出见习分配方案，分配方案报见习工作领导小组办公室备案。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4.培训报到：202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日，拟在县政府召开大学生见习动员培训会议，邀请县政府有关领导出席。动员培训会议由见 习工作领导小组办公室负责组织实施。动员培训会后，大学生持个人有效身份证件和人身意外伤害保险证明，到所分配的见习单位报到。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5.见习考核：见习结束前，见习大学生撰写个人见习总结 (1000字以上),并在丹凤县政府门户网站上下载《见习总结评定表》(附件3),各一式四份留存见习单位、人社局、工作小组办公室(政府办)各一份，学生自行带回所在学校一份。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6.见习总结：见习结束时，见习工作小组召开见习工作总结大会，邀请见习单位负责人和见习大学生参加，推选见习组织工作先进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负责人和优秀大学生代表作大会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交流</w:t>
      </w:r>
      <w:r>
        <w:rPr>
          <w:rFonts w:hint="eastAsia" w:ascii="仿宋_GB2312" w:hAnsi="仿宋_GB2312" w:eastAsia="仿宋_GB2312" w:cs="仿宋_GB2312"/>
          <w:sz w:val="32"/>
          <w:szCs w:val="32"/>
        </w:rPr>
        <w:t>发言，邀请县政府有关领导出席。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 工作要求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1.县上成立由县政府常务副县长李强同志任组长，政府办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县数据服务中心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、财政局、人社局、县政务服务中心主要领导为成员的大学生见习工作领导小组，下设办公室于县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数据服务中心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，由杜娟同志具体负责日常协调工作。大学生假期到政府机关见习活动由县政府办公室组织协调，各成员单位按职责配合实施。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2.县政府工作部门、事业机构结合单位工作实际上报见习岗位需求情况统计表(附件1),于6月28 日下午5时前将岗位 需求统计表纸质版加盖公章报政府办506室，电子版发送至2316791740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 xml:space="preserve">@qq.com </w:t>
      </w:r>
      <w:r>
        <w:rPr>
          <w:rFonts w:hint="eastAsia" w:ascii="仿宋_GB2312" w:hAnsi="仿宋_GB2312" w:eastAsia="仿宋_GB2312" w:cs="仿宋_GB2312"/>
          <w:sz w:val="32"/>
          <w:szCs w:val="32"/>
        </w:rPr>
        <w:t>邮箱。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各相关单位要明确职责，确定专人负责此项工作。各见习单位要结合见习大学生在读专业，合理安排见习岗位，指定专人担任指导老师，并安排好见习学生的工作和生活，做好见习生参与机关事务、开展调查研究等活动。见习结束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见习单位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负责落实见习大学生每人1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00元的见习补助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经费（生活补助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1700元，交通补助100元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4.各见习单位负责见习大学生的日常考核工作，根据工作表 现出具鉴定意见。见习大学生要自觉接受见习单位管理，遵守见习单位规章制度，注意人身、交通、饮食等安全事项。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1918" w:leftChars="304" w:hanging="1280" w:hangingChars="4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附件：1.丹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凤县202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pacing w:val="6"/>
          <w:sz w:val="32"/>
          <w:szCs w:val="32"/>
        </w:rPr>
        <w:t>年大学生到政府机关见习岗位需求</w:t>
      </w:r>
      <w:r>
        <w:rPr>
          <w:rFonts w:hint="eastAsia" w:ascii="仿宋_GB2312" w:hAnsi="仿宋_GB2312" w:eastAsia="仿宋_GB2312" w:cs="仿宋_GB2312"/>
          <w:sz w:val="32"/>
          <w:szCs w:val="32"/>
        </w:rPr>
        <w:t>情况统计表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left="1916" w:leftChars="760" w:hanging="320" w:hangingChars="1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2.丹凤县202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年大学生到政府机关见习报名审查暨推荐表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firstLine="1600" w:firstLineChars="5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3.丹凤县202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年大学生到政府机关见习总结评定表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4800" w:firstLineChars="15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丹凤县人民政府办公室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5440" w:firstLineChars="17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年6月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(联系人：杜娟  电话：0914-3322672)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footerReference r:id="rId3" w:type="default"/>
          <w:pgSz w:w="11849" w:h="16781"/>
          <w:pgMar w:top="1871" w:right="1474" w:bottom="1587" w:left="1587" w:header="0" w:footer="1247" w:gutter="0"/>
          <w:pgNumType w:fmt="numberInDash" w:start="2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丹凤县202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年大学生到政府机关见习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岗位需求情况统计表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单 位 ：</w:t>
      </w:r>
    </w:p>
    <w:tbl>
      <w:tblPr>
        <w:tblStyle w:val="6"/>
        <w:tblW w:w="14000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30"/>
        <w:gridCol w:w="2182"/>
        <w:gridCol w:w="1913"/>
        <w:gridCol w:w="2145"/>
        <w:gridCol w:w="1697"/>
        <w:gridCol w:w="29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1890"/>
              </w:tabs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单位名称</w:t>
            </w: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需求岗位</w:t>
            </w: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学历层次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所学专业</w:t>
            </w: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需求人数</w:t>
            </w: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其它要求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1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8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9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93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  <w:sectPr>
          <w:pgSz w:w="16781" w:h="11849" w:orient="landscape"/>
          <w:pgMar w:top="1587" w:right="1871" w:bottom="1474" w:left="1587" w:header="0" w:footer="1247" w:gutter="0"/>
          <w:pgNumType w:fmt="numberInDash"/>
          <w:cols w:space="0" w:num="1"/>
          <w:rtlGutter w:val="0"/>
          <w:docGrid w:linePitch="0" w:charSpace="0"/>
        </w:sect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丹凤县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年大学生到政府机关见习报名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审查暨推荐表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56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学校及院系：                          所学专业：</w:t>
      </w:r>
    </w:p>
    <w:tbl>
      <w:tblPr>
        <w:tblStyle w:val="6"/>
        <w:tblW w:w="8775" w:type="dxa"/>
        <w:tblInd w:w="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1"/>
        <w:gridCol w:w="1194"/>
        <w:gridCol w:w="293"/>
        <w:gridCol w:w="1537"/>
        <w:gridCol w:w="1560"/>
        <w:gridCol w:w="2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-61" w:rightChars="-2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-233" w:rightChars="-111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(本人2寸照片)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籍贯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民族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19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5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458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0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67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-199" w:leftChars="-95" w:firstLine="173" w:firstLineChars="62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所在年级班级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见习岗位意向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班主任姓名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家长姓名</w:t>
            </w:r>
          </w:p>
        </w:tc>
        <w:tc>
          <w:tcPr>
            <w:tcW w:w="148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09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在校职务</w:t>
            </w:r>
          </w:p>
        </w:tc>
        <w:tc>
          <w:tcPr>
            <w:tcW w:w="67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特长爱好</w:t>
            </w:r>
          </w:p>
        </w:tc>
        <w:tc>
          <w:tcPr>
            <w:tcW w:w="67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奖惩情况</w:t>
            </w:r>
          </w:p>
        </w:tc>
        <w:tc>
          <w:tcPr>
            <w:tcW w:w="67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0" w:hRule="atLeast"/>
        </w:trPr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学习成绩及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考证情况</w:t>
            </w:r>
          </w:p>
        </w:tc>
        <w:tc>
          <w:tcPr>
            <w:tcW w:w="6744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另附成绩单盖章有效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877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学校推荐意见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月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ind w:firstLine="480" w:firstLineChars="200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  <w:sectPr>
          <w:footerReference r:id="rId4" w:type="default"/>
          <w:pgSz w:w="11849" w:h="16781"/>
          <w:pgMar w:top="1871" w:right="1474" w:bottom="1587" w:left="1587" w:header="0" w:footer="1247" w:gutter="0"/>
          <w:pgNumType w:fmt="numberInDash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注：本表涉及奖惩、特长、成绩及考证等情况需提供佐证附件，遴选中将作为择优录取依据。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丹凤县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年大学生到政府机关见习总结评定表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876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8"/>
        <w:gridCol w:w="1301"/>
        <w:gridCol w:w="885"/>
        <w:gridCol w:w="797"/>
        <w:gridCol w:w="1267"/>
        <w:gridCol w:w="807"/>
        <w:gridCol w:w="1343"/>
        <w:gridCol w:w="11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-19" w:rightChars="-9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13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748" w:rightChars="356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别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龄</w:t>
            </w:r>
          </w:p>
        </w:tc>
        <w:tc>
          <w:tcPr>
            <w:tcW w:w="8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级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所在院校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  业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见习单位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见习岗位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指导老师</w:t>
            </w:r>
          </w:p>
        </w:tc>
        <w:tc>
          <w:tcPr>
            <w:tcW w:w="298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  务</w:t>
            </w:r>
          </w:p>
        </w:tc>
        <w:tc>
          <w:tcPr>
            <w:tcW w:w="33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见习时间</w:t>
            </w:r>
          </w:p>
        </w:tc>
        <w:tc>
          <w:tcPr>
            <w:tcW w:w="75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 日  至   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主要见习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工作内容</w:t>
            </w:r>
          </w:p>
        </w:tc>
        <w:tc>
          <w:tcPr>
            <w:tcW w:w="75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3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见习单位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鉴定意见</w:t>
            </w:r>
          </w:p>
        </w:tc>
        <w:tc>
          <w:tcPr>
            <w:tcW w:w="75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</w:trPr>
        <w:tc>
          <w:tcPr>
            <w:tcW w:w="120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县人社局综合评定意见</w:t>
            </w:r>
          </w:p>
        </w:tc>
        <w:tc>
          <w:tcPr>
            <w:tcW w:w="7552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(公章)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月   日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00" w:lineRule="exact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注：此表附见习学生的见习工作总结(1000字以上)一式3份，由见习单位和县人社局加注 意见后，县见习工作领导小组办公室、县人社局各留存1份，见习学生带回1份交所在学校。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60" w:lineRule="exact"/>
        <w:jc w:val="both"/>
        <w:textAlignment w:val="baseline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抄送：市政府办公室。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840" w:firstLineChars="300"/>
        <w:jc w:val="both"/>
        <w:textAlignment w:val="baseline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县委办，县人大办，县政协办。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both"/>
        <w:textAlignment w:val="baseline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县委组织部，县委宣传部，团县委，机关工委。</w:t>
      </w:r>
    </w:p>
    <w:sectPr>
      <w:footerReference r:id="rId5" w:type="default"/>
      <w:pgSz w:w="11849" w:h="16781"/>
      <w:pgMar w:top="1871" w:right="1474" w:bottom="1587" w:left="1587" w:header="0" w:footer="0" w:gutter="0"/>
      <w:pgNumType w:fmt="numberInDash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420" w:leftChars="200" w:right="420" w:rightChars="200"/>
                            <w:textAlignment w:val="baseline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420" w:leftChars="200" w:right="420" w:rightChars="200"/>
                      <w:textAlignment w:val="baseline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693"/>
      <w:rPr>
        <w:rFonts w:ascii="宋体" w:hAnsi="宋体" w:eastAsia="宋体" w:cs="宋体"/>
        <w:sz w:val="38"/>
        <w:szCs w:val="38"/>
      </w:rPr>
    </w:pPr>
    <w:r>
      <w:rPr>
        <w:sz w:val="3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420" w:leftChars="200" w:right="420" w:rightChars="200"/>
                            <w:textAlignment w:val="baseline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6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420" w:leftChars="200" w:right="420" w:rightChars="200"/>
                      <w:textAlignment w:val="baseline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6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left="10385"/>
      <w:rPr>
        <w:rFonts w:ascii="宋体" w:hAnsi="宋体" w:eastAsia="宋体" w:cs="宋体"/>
        <w:sz w:val="39"/>
        <w:szCs w:val="39"/>
      </w:rPr>
    </w:pPr>
    <w:r>
      <w:rPr>
        <w:sz w:val="39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/>
                            <w:kinsoku w:val="0"/>
                            <w:wordWrap/>
                            <w:overflowPunct/>
                            <w:topLinePunct w:val="0"/>
                            <w:autoSpaceDE w:val="0"/>
                            <w:autoSpaceDN w:val="0"/>
                            <w:bidi w:val="0"/>
                            <w:adjustRightInd w:val="0"/>
                            <w:snapToGrid w:val="0"/>
                            <w:ind w:left="420" w:leftChars="200" w:right="420" w:rightChars="200"/>
                            <w:textAlignment w:val="baseline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7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/>
                      <w:kinsoku w:val="0"/>
                      <w:wordWrap/>
                      <w:overflowPunct/>
                      <w:topLinePunct w:val="0"/>
                      <w:autoSpaceDE w:val="0"/>
                      <w:autoSpaceDN w:val="0"/>
                      <w:bidi w:val="0"/>
                      <w:adjustRightInd w:val="0"/>
                      <w:snapToGrid w:val="0"/>
                      <w:ind w:left="420" w:leftChars="200" w:right="420" w:rightChars="200"/>
                      <w:textAlignment w:val="baseline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7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宋体" w:hAnsi="宋体" w:eastAsia="宋体" w:cs="宋体"/>
        <w:spacing w:val="-5"/>
        <w:sz w:val="39"/>
        <w:szCs w:val="39"/>
      </w:rPr>
      <w:t>—7—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27140"/>
    <w:rsid w:val="0E3B5A87"/>
    <w:rsid w:val="12C7537F"/>
    <w:rsid w:val="136B0845"/>
    <w:rsid w:val="13E214AD"/>
    <w:rsid w:val="20796311"/>
    <w:rsid w:val="21462F44"/>
    <w:rsid w:val="29527140"/>
    <w:rsid w:val="36E7752D"/>
    <w:rsid w:val="38A24175"/>
    <w:rsid w:val="3D1D35C2"/>
    <w:rsid w:val="3F0D3C8B"/>
    <w:rsid w:val="468E5523"/>
    <w:rsid w:val="4F7D5030"/>
    <w:rsid w:val="56655284"/>
    <w:rsid w:val="57A23FDE"/>
    <w:rsid w:val="57FF642A"/>
    <w:rsid w:val="68CF14E1"/>
    <w:rsid w:val="71D0648A"/>
    <w:rsid w:val="71D727C1"/>
    <w:rsid w:val="72AD5FC6"/>
    <w:rsid w:val="7A3B1A1F"/>
    <w:rsid w:val="7EBF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2024-06-21T08:55:00Z</dcterms:created>
  <dc:creator>Administrator</dc:creator>
  <cp:lastModifiedBy>Administrator</cp:lastModifiedBy>
  <cp:lastPrinted>2024-06-21T08:32:34Z</cp:lastPrinted>
  <dcterms:modified xsi:type="dcterms:W3CDTF">2024-06-21T08:38:48Z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